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EC" w:rsidRPr="008D2F56" w:rsidRDefault="008D2F56" w:rsidP="008D2F56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Załącznik nr 2.10 . do SWZ PN-134/23/ZS</w:t>
      </w:r>
    </w:p>
    <w:p w:rsidR="008D2F56" w:rsidRDefault="007D73EC" w:rsidP="007D73EC">
      <w:pPr>
        <w:spacing w:line="276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0E0D1F">
        <w:rPr>
          <w:rFonts w:ascii="Verdana" w:hAnsi="Verdana"/>
          <w:b/>
          <w:sz w:val="24"/>
          <w:szCs w:val="24"/>
          <w:u w:val="single"/>
        </w:rPr>
        <w:t xml:space="preserve"> </w:t>
      </w:r>
    </w:p>
    <w:p w:rsidR="007D73EC" w:rsidRPr="000E0D1F" w:rsidRDefault="007D73EC" w:rsidP="007D73EC">
      <w:pPr>
        <w:spacing w:line="276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0E0D1F">
        <w:rPr>
          <w:rFonts w:ascii="Verdana" w:hAnsi="Verdana"/>
          <w:b/>
          <w:sz w:val="24"/>
          <w:szCs w:val="24"/>
          <w:u w:val="single"/>
        </w:rPr>
        <w:t xml:space="preserve"> OPIS PRZEDMIOTU ZAMÓWIENIA </w:t>
      </w:r>
    </w:p>
    <w:p w:rsidR="008D2F56" w:rsidRPr="008D2F56" w:rsidRDefault="008D2F56" w:rsidP="008D2F56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8D2F56">
        <w:rPr>
          <w:rFonts w:ascii="Verdana" w:hAnsi="Verdana"/>
          <w:b/>
          <w:sz w:val="24"/>
          <w:szCs w:val="24"/>
        </w:rPr>
        <w:t>Część nr10</w:t>
      </w:r>
    </w:p>
    <w:p w:rsidR="007D73EC" w:rsidRPr="009B01D9" w:rsidRDefault="007D73EC" w:rsidP="007D73E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D73EC" w:rsidRPr="003F3E51" w:rsidRDefault="00D60A77" w:rsidP="003F3E5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Cs/>
          <w:sz w:val="24"/>
          <w:szCs w:val="24"/>
        </w:rPr>
        <w:t xml:space="preserve"> </w:t>
      </w:r>
      <w:r w:rsidR="003F3E51">
        <w:rPr>
          <w:rFonts w:ascii="Verdana" w:hAnsi="Verdana"/>
          <w:b/>
          <w:sz w:val="24"/>
          <w:szCs w:val="24"/>
          <w:u w:val="single"/>
        </w:rPr>
        <w:t>Przedmiot zamówienia</w:t>
      </w:r>
    </w:p>
    <w:p w:rsidR="007D73EC" w:rsidRPr="009B01D9" w:rsidRDefault="007D73EC" w:rsidP="007D73EC">
      <w:pPr>
        <w:spacing w:line="276" w:lineRule="auto"/>
        <w:rPr>
          <w:sz w:val="24"/>
          <w:szCs w:val="24"/>
        </w:rPr>
      </w:pPr>
    </w:p>
    <w:p w:rsidR="007D73EC" w:rsidRPr="00B75794" w:rsidRDefault="00B75794" w:rsidP="00B7579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Przedmiotem zamówienia jest </w:t>
      </w:r>
      <w:r w:rsidR="007D73EC" w:rsidRPr="003F3E51">
        <w:rPr>
          <w:rFonts w:ascii="Verdana" w:hAnsi="Verdana"/>
          <w:b/>
          <w:sz w:val="24"/>
          <w:szCs w:val="24"/>
        </w:rPr>
        <w:t>–</w:t>
      </w:r>
      <w:r w:rsidR="00BB67FF" w:rsidRPr="003F3E51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45530C">
        <w:rPr>
          <w:rFonts w:ascii="Verdana" w:hAnsi="Verdana"/>
          <w:b/>
          <w:sz w:val="24"/>
          <w:szCs w:val="24"/>
          <w:u w:val="single"/>
        </w:rPr>
        <w:t>W</w:t>
      </w:r>
      <w:r w:rsidR="00946EAC">
        <w:rPr>
          <w:rFonts w:ascii="Verdana" w:hAnsi="Verdana"/>
          <w:b/>
          <w:sz w:val="24"/>
          <w:szCs w:val="24"/>
          <w:u w:val="single"/>
        </w:rPr>
        <w:t>ykonanie</w:t>
      </w:r>
      <w:r w:rsidR="00236758" w:rsidRPr="003F3E51">
        <w:rPr>
          <w:rFonts w:ascii="Verdana" w:hAnsi="Verdana"/>
          <w:b/>
          <w:sz w:val="24"/>
          <w:szCs w:val="24"/>
          <w:u w:val="single"/>
        </w:rPr>
        <w:t xml:space="preserve"> przeglądu serwisowego</w:t>
      </w:r>
      <w:r w:rsidR="00EF2AE3" w:rsidRPr="003F3E51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B02DE6">
        <w:rPr>
          <w:rFonts w:ascii="Verdana" w:hAnsi="Verdana"/>
          <w:b/>
          <w:sz w:val="24"/>
          <w:szCs w:val="24"/>
          <w:u w:val="single"/>
        </w:rPr>
        <w:t>urządzeń zasilania bezprzerwowego UPS</w:t>
      </w:r>
      <w:r w:rsidR="00B02DE6">
        <w:rPr>
          <w:rFonts w:ascii="Verdana" w:hAnsi="Verdana"/>
          <w:sz w:val="24"/>
          <w:szCs w:val="24"/>
        </w:rPr>
        <w:t xml:space="preserve"> -</w:t>
      </w:r>
      <w:r w:rsidR="007D73EC" w:rsidRPr="003F3E51">
        <w:rPr>
          <w:rFonts w:ascii="Verdana" w:hAnsi="Verdana"/>
          <w:sz w:val="24"/>
          <w:szCs w:val="24"/>
        </w:rPr>
        <w:t xml:space="preserve"> usługa dotyczy ko</w:t>
      </w:r>
      <w:r w:rsidR="00EF2AE3" w:rsidRPr="003F3E51">
        <w:rPr>
          <w:rFonts w:ascii="Verdana" w:hAnsi="Verdana"/>
          <w:sz w:val="24"/>
          <w:szCs w:val="24"/>
        </w:rPr>
        <w:t>mpleksowego przeglądu</w:t>
      </w:r>
      <w:r w:rsidR="00BC1E67" w:rsidRPr="003F3E51">
        <w:rPr>
          <w:rFonts w:ascii="Verdana" w:hAnsi="Verdana"/>
          <w:sz w:val="24"/>
          <w:szCs w:val="24"/>
        </w:rPr>
        <w:t xml:space="preserve"> każdego z urządzeń</w:t>
      </w:r>
      <w:r w:rsidR="004124CA" w:rsidRPr="003F3E51">
        <w:rPr>
          <w:rFonts w:ascii="Verdana" w:hAnsi="Verdana"/>
          <w:sz w:val="24"/>
          <w:szCs w:val="24"/>
        </w:rPr>
        <w:t xml:space="preserve"> wraz z bateriami akumulatorów p</w:t>
      </w:r>
      <w:r w:rsidR="00FD3664" w:rsidRPr="003F3E51">
        <w:rPr>
          <w:rFonts w:ascii="Verdana" w:hAnsi="Verdana"/>
          <w:sz w:val="24"/>
          <w:szCs w:val="24"/>
        </w:rPr>
        <w:t>rzynależnymi do każdego urządzenia</w:t>
      </w:r>
      <w:r>
        <w:rPr>
          <w:rFonts w:ascii="Verdana" w:hAnsi="Verdana"/>
          <w:sz w:val="24"/>
          <w:szCs w:val="24"/>
        </w:rPr>
        <w:t xml:space="preserve"> w</w:t>
      </w:r>
      <w:r>
        <w:rPr>
          <w:rFonts w:ascii="Verdana" w:hAnsi="Verdana" w:cs="Arial"/>
          <w:sz w:val="24"/>
          <w:szCs w:val="24"/>
        </w:rPr>
        <w:t xml:space="preserve"> Narodowym Instytucie Onkologii im. Marii Skłodowskiej–Curie - Państwowym Instytucie Badawczym w Warszawie </w:t>
      </w:r>
      <w:r w:rsidR="00AD357A">
        <w:rPr>
          <w:rFonts w:ascii="Verdana" w:hAnsi="Verdana"/>
          <w:sz w:val="24"/>
          <w:szCs w:val="24"/>
        </w:rPr>
        <w:t>czasie nie dłuższym niż 6 miesięcy od podpisania umowy</w:t>
      </w:r>
      <w:r w:rsidR="004124CA" w:rsidRPr="003F3E51">
        <w:rPr>
          <w:rFonts w:ascii="Verdana" w:hAnsi="Verdana"/>
          <w:sz w:val="24"/>
          <w:szCs w:val="24"/>
        </w:rPr>
        <w:t xml:space="preserve">. </w:t>
      </w:r>
    </w:p>
    <w:p w:rsidR="003F3E51" w:rsidRPr="003F3E51" w:rsidRDefault="003F3E51" w:rsidP="007D73EC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7D73EC" w:rsidRPr="00881492" w:rsidRDefault="003F3E51" w:rsidP="007D73EC">
      <w:pPr>
        <w:pStyle w:val="Akapitzlist"/>
        <w:numPr>
          <w:ilvl w:val="0"/>
          <w:numId w:val="3"/>
        </w:numPr>
        <w:tabs>
          <w:tab w:val="center" w:pos="4536"/>
        </w:tabs>
        <w:spacing w:line="276" w:lineRule="auto"/>
        <w:jc w:val="both"/>
        <w:rPr>
          <w:b/>
          <w:sz w:val="24"/>
          <w:szCs w:val="24"/>
        </w:rPr>
      </w:pPr>
      <w:r w:rsidRPr="0033063A">
        <w:rPr>
          <w:rFonts w:ascii="Verdana" w:hAnsi="Verdana"/>
          <w:b/>
          <w:sz w:val="24"/>
          <w:szCs w:val="24"/>
          <w:u w:val="single"/>
        </w:rPr>
        <w:t>Lokalizacja i opis urządzeń</w:t>
      </w:r>
      <w:r w:rsidR="007D73EC" w:rsidRPr="00881492">
        <w:rPr>
          <w:b/>
          <w:sz w:val="24"/>
          <w:szCs w:val="24"/>
        </w:rPr>
        <w:tab/>
      </w:r>
    </w:p>
    <w:p w:rsidR="007D73EC" w:rsidRPr="009B01D9" w:rsidRDefault="007D73EC" w:rsidP="007D73EC">
      <w:pPr>
        <w:tabs>
          <w:tab w:val="center" w:pos="4536"/>
        </w:tabs>
        <w:spacing w:line="276" w:lineRule="auto"/>
        <w:jc w:val="center"/>
        <w:rPr>
          <w:b/>
          <w:sz w:val="24"/>
          <w:szCs w:val="24"/>
          <w:u w:val="single"/>
        </w:rPr>
      </w:pPr>
    </w:p>
    <w:p w:rsidR="00BC1E67" w:rsidRDefault="00E37E83" w:rsidP="007D73EC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Narodowy Instytut Onkologii im. Marii Skłodows</w:t>
      </w:r>
      <w:r w:rsidR="00A7224F">
        <w:rPr>
          <w:rFonts w:ascii="Verdana" w:hAnsi="Verdana" w:cs="Arial"/>
          <w:sz w:val="24"/>
          <w:szCs w:val="24"/>
        </w:rPr>
        <w:t>kiej</w:t>
      </w:r>
      <w:r>
        <w:rPr>
          <w:rFonts w:ascii="Verdana" w:hAnsi="Verdana" w:cs="Arial"/>
          <w:sz w:val="24"/>
          <w:szCs w:val="24"/>
        </w:rPr>
        <w:t xml:space="preserve">–Curie </w:t>
      </w:r>
      <w:r w:rsidR="00A7224F">
        <w:rPr>
          <w:rFonts w:ascii="Verdana" w:hAnsi="Verdana" w:cs="Arial"/>
          <w:sz w:val="24"/>
          <w:szCs w:val="24"/>
        </w:rPr>
        <w:t xml:space="preserve">- </w:t>
      </w:r>
      <w:r>
        <w:rPr>
          <w:rFonts w:ascii="Verdana" w:hAnsi="Verdana" w:cs="Arial"/>
          <w:sz w:val="24"/>
          <w:szCs w:val="24"/>
        </w:rPr>
        <w:t>Państwowy Instytut Badawczy w Warszawie.</w:t>
      </w:r>
    </w:p>
    <w:p w:rsidR="00A7224F" w:rsidRDefault="00A7224F" w:rsidP="007D73EC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:rsidR="00A7224F" w:rsidRPr="00997FD0" w:rsidRDefault="00A7224F" w:rsidP="00A7224F">
      <w:pPr>
        <w:rPr>
          <w:rFonts w:ascii="Verdana" w:hAnsi="Verdana"/>
          <w:sz w:val="24"/>
          <w:szCs w:val="24"/>
          <w:lang w:val="en-US"/>
        </w:rPr>
      </w:pPr>
      <w:r w:rsidRPr="00A7224F">
        <w:rPr>
          <w:rFonts w:ascii="Verdana" w:hAnsi="Verdana"/>
          <w:sz w:val="24"/>
          <w:szCs w:val="24"/>
          <w:lang w:val="en-US"/>
        </w:rPr>
        <w:t>1.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="00B02DE6">
        <w:rPr>
          <w:rFonts w:ascii="Verdana" w:hAnsi="Verdana"/>
          <w:sz w:val="24"/>
          <w:szCs w:val="24"/>
          <w:lang w:val="en-US"/>
        </w:rPr>
        <w:t>Delta Electronics, GES403HH 30kVA</w:t>
      </w:r>
    </w:p>
    <w:p w:rsidR="00A7224F" w:rsidRPr="00997FD0" w:rsidRDefault="00A7224F" w:rsidP="00A7224F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2. </w:t>
      </w:r>
      <w:r w:rsidRPr="00A7224F">
        <w:rPr>
          <w:rFonts w:ascii="Verdana" w:hAnsi="Verdana" w:cs="Courier New"/>
          <w:sz w:val="24"/>
          <w:szCs w:val="24"/>
          <w:lang w:val="en-US"/>
        </w:rPr>
        <w:t>Cover NHS30</w:t>
      </w:r>
      <w:r w:rsidR="00B02DE6">
        <w:rPr>
          <w:rFonts w:ascii="Verdana" w:hAnsi="Verdana" w:cs="Courier New"/>
          <w:sz w:val="24"/>
          <w:szCs w:val="24"/>
          <w:lang w:val="en-US"/>
        </w:rPr>
        <w:t xml:space="preserve"> 30kVA</w:t>
      </w:r>
      <w:r w:rsidRPr="00997FD0">
        <w:rPr>
          <w:rFonts w:ascii="Verdana" w:hAnsi="Verdana" w:cs="Courier New"/>
          <w:sz w:val="24"/>
          <w:szCs w:val="24"/>
          <w:lang w:val="en-US"/>
        </w:rPr>
        <w:t xml:space="preserve"> 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>3.</w:t>
      </w:r>
      <w:r w:rsidR="00B02DE6">
        <w:rPr>
          <w:rFonts w:ascii="Verdana" w:hAnsi="Verdana" w:cs="Courier New"/>
          <w:sz w:val="24"/>
          <w:szCs w:val="24"/>
          <w:lang w:val="en-US"/>
        </w:rPr>
        <w:t xml:space="preserve"> Combo </w:t>
      </w:r>
      <w:proofErr w:type="spellStart"/>
      <w:r w:rsidR="00B02DE6">
        <w:rPr>
          <w:rFonts w:ascii="Verdana" w:hAnsi="Verdana" w:cs="Courier New"/>
          <w:sz w:val="24"/>
          <w:szCs w:val="24"/>
          <w:lang w:val="en-US"/>
        </w:rPr>
        <w:t>Innova</w:t>
      </w:r>
      <w:proofErr w:type="spellEnd"/>
      <w:r w:rsidR="00B02DE6">
        <w:rPr>
          <w:rFonts w:ascii="Verdana" w:hAnsi="Verdana" w:cs="Courier New"/>
          <w:sz w:val="24"/>
          <w:szCs w:val="24"/>
          <w:lang w:val="en-US"/>
        </w:rPr>
        <w:t xml:space="preserve"> + battery box 10kVA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4. </w:t>
      </w:r>
      <w:r w:rsidR="00B02DE6">
        <w:rPr>
          <w:rFonts w:ascii="Verdana" w:hAnsi="Verdana" w:cs="Courier New"/>
          <w:sz w:val="24"/>
          <w:szCs w:val="24"/>
          <w:lang w:val="en-US"/>
        </w:rPr>
        <w:t>EATON 93 40kVA</w:t>
      </w:r>
      <w:r w:rsidRPr="00A7224F">
        <w:rPr>
          <w:rFonts w:ascii="Verdana" w:hAnsi="Verdana" w:cs="Courier New"/>
          <w:sz w:val="24"/>
          <w:szCs w:val="24"/>
          <w:lang w:val="en-US"/>
        </w:rPr>
        <w:t xml:space="preserve">    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 w:rsidRPr="00997FD0">
        <w:rPr>
          <w:rFonts w:ascii="Verdana" w:hAnsi="Verdana" w:cs="Courier New"/>
          <w:sz w:val="24"/>
          <w:szCs w:val="24"/>
          <w:lang w:val="en-US"/>
        </w:rPr>
        <w:t xml:space="preserve">5. </w:t>
      </w:r>
      <w:r w:rsidR="0052613A" w:rsidRPr="00997FD0">
        <w:rPr>
          <w:rFonts w:ascii="Verdana" w:hAnsi="Verdana" w:cs="Courier New"/>
          <w:sz w:val="24"/>
          <w:szCs w:val="24"/>
          <w:lang w:val="en-US"/>
        </w:rPr>
        <w:t>BE</w:t>
      </w:r>
      <w:r w:rsidR="00251AAC" w:rsidRPr="00997FD0">
        <w:rPr>
          <w:rFonts w:ascii="Verdana" w:hAnsi="Verdana" w:cs="Courier New"/>
          <w:sz w:val="24"/>
          <w:szCs w:val="24"/>
          <w:lang w:val="en-US"/>
        </w:rPr>
        <w:t>ST</w:t>
      </w:r>
      <w:r w:rsidR="0052613A" w:rsidRPr="00997FD0">
        <w:rPr>
          <w:rFonts w:ascii="Verdana" w:hAnsi="Verdana" w:cs="Courier New"/>
          <w:sz w:val="24"/>
          <w:szCs w:val="24"/>
          <w:lang w:val="en-US"/>
        </w:rPr>
        <w:t xml:space="preserve"> Power tech.</w:t>
      </w:r>
      <w:r w:rsidR="00251AAC" w:rsidRPr="00997FD0">
        <w:rPr>
          <w:rFonts w:ascii="Verdana" w:hAnsi="Verdana" w:cs="Courier New"/>
          <w:sz w:val="24"/>
          <w:szCs w:val="24"/>
          <w:lang w:val="en-US"/>
        </w:rPr>
        <w:t xml:space="preserve"> UPS model LI.5,0k</w:t>
      </w:r>
      <w:r w:rsidRPr="00997FD0">
        <w:rPr>
          <w:rFonts w:ascii="Verdana" w:hAnsi="Verdana" w:cs="Courier New"/>
          <w:sz w:val="24"/>
          <w:szCs w:val="24"/>
          <w:lang w:val="en-US"/>
        </w:rPr>
        <w:t xml:space="preserve">VA 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 w:rsidRPr="00997FD0">
        <w:rPr>
          <w:rFonts w:ascii="Verdana" w:hAnsi="Verdana" w:cs="Courier New"/>
          <w:sz w:val="24"/>
          <w:szCs w:val="24"/>
          <w:lang w:val="en-US"/>
        </w:rPr>
        <w:t xml:space="preserve">6. </w:t>
      </w:r>
      <w:r w:rsidR="00251AAC" w:rsidRPr="00997FD0">
        <w:rPr>
          <w:rFonts w:ascii="Verdana" w:hAnsi="Verdana" w:cs="Courier New"/>
          <w:sz w:val="24"/>
          <w:szCs w:val="24"/>
          <w:lang w:val="en-US"/>
        </w:rPr>
        <w:t xml:space="preserve">APC Back-UPS 1,5 </w:t>
      </w:r>
      <w:proofErr w:type="spellStart"/>
      <w:r w:rsidR="00251AAC" w:rsidRPr="00997FD0">
        <w:rPr>
          <w:rFonts w:ascii="Verdana" w:hAnsi="Verdana" w:cs="Courier New"/>
          <w:sz w:val="24"/>
          <w:szCs w:val="24"/>
          <w:lang w:val="en-US"/>
        </w:rPr>
        <w:t>kVA</w:t>
      </w:r>
      <w:proofErr w:type="spellEnd"/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7. </w:t>
      </w:r>
      <w:proofErr w:type="spellStart"/>
      <w:r w:rsidR="00251AAC" w:rsidRPr="00997FD0">
        <w:rPr>
          <w:rFonts w:ascii="Verdana" w:hAnsi="Verdana" w:cs="Courier New"/>
          <w:color w:val="000000"/>
          <w:sz w:val="24"/>
          <w:szCs w:val="24"/>
          <w:lang w:val="en-US"/>
        </w:rPr>
        <w:t>Riello</w:t>
      </w:r>
      <w:proofErr w:type="spellEnd"/>
      <w:r w:rsidR="00251AAC" w:rsidRPr="00997FD0">
        <w:rPr>
          <w:rFonts w:ascii="Verdana" w:hAnsi="Verdana" w:cs="Courier New"/>
          <w:color w:val="000000"/>
          <w:sz w:val="24"/>
          <w:szCs w:val="24"/>
          <w:lang w:val="en-US"/>
        </w:rPr>
        <w:t xml:space="preserve">  MSM 15 A0 15kVA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 w:rsidRPr="00997FD0">
        <w:rPr>
          <w:rFonts w:ascii="Verdana" w:hAnsi="Verdana" w:cs="Courier New"/>
          <w:sz w:val="24"/>
          <w:szCs w:val="24"/>
          <w:lang w:val="en-US"/>
        </w:rPr>
        <w:t xml:space="preserve">8. </w:t>
      </w:r>
      <w:r w:rsidR="00251AAC" w:rsidRPr="00997FD0">
        <w:rPr>
          <w:rFonts w:ascii="Verdana" w:hAnsi="Verdana" w:cs="Courier New"/>
          <w:sz w:val="24"/>
          <w:szCs w:val="24"/>
          <w:lang w:val="en-US"/>
        </w:rPr>
        <w:t>Cover NGS15 15kVA</w:t>
      </w:r>
    </w:p>
    <w:p w:rsidR="00A7224F" w:rsidRPr="00997FD0" w:rsidRDefault="00A7224F" w:rsidP="00A7224F">
      <w:pPr>
        <w:rPr>
          <w:rFonts w:ascii="Verdana" w:hAnsi="Verdana" w:cs="Courier New"/>
          <w:color w:val="FF0000"/>
          <w:sz w:val="24"/>
          <w:szCs w:val="24"/>
          <w:lang w:val="en-US"/>
        </w:rPr>
      </w:pPr>
      <w:r w:rsidRPr="00997FD0">
        <w:rPr>
          <w:rFonts w:ascii="Verdana" w:hAnsi="Verdana" w:cs="Courier New"/>
          <w:color w:val="000000"/>
          <w:sz w:val="24"/>
          <w:szCs w:val="24"/>
          <w:lang w:val="en-US"/>
        </w:rPr>
        <w:t>9.</w:t>
      </w:r>
      <w:r w:rsidRPr="00997FD0">
        <w:rPr>
          <w:rFonts w:ascii="Verdana" w:hAnsi="Verdana" w:cs="Courier New"/>
          <w:sz w:val="24"/>
          <w:szCs w:val="24"/>
          <w:lang w:val="en-US"/>
        </w:rPr>
        <w:t xml:space="preserve"> </w:t>
      </w:r>
      <w:proofErr w:type="spellStart"/>
      <w:r w:rsidRPr="00997FD0">
        <w:rPr>
          <w:rFonts w:ascii="Verdana" w:hAnsi="Verdana" w:cs="Courier New"/>
          <w:sz w:val="24"/>
          <w:szCs w:val="24"/>
          <w:lang w:val="en-US"/>
        </w:rPr>
        <w:t>Centiel</w:t>
      </w:r>
      <w:proofErr w:type="spellEnd"/>
      <w:r w:rsidRPr="00997FD0">
        <w:rPr>
          <w:rFonts w:ascii="Verdana" w:hAnsi="Verdana" w:cs="Courier New"/>
          <w:sz w:val="24"/>
          <w:szCs w:val="24"/>
          <w:lang w:val="en-US"/>
        </w:rPr>
        <w:t xml:space="preserve"> CAB-CP250-E-B0 2x25kVa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10. </w:t>
      </w:r>
      <w:r w:rsidRPr="00A7224F">
        <w:rPr>
          <w:rFonts w:ascii="Verdana" w:hAnsi="Verdana" w:cs="Courier New"/>
          <w:sz w:val="24"/>
          <w:szCs w:val="24"/>
          <w:lang w:val="en-US"/>
        </w:rPr>
        <w:t xml:space="preserve">Delta Power, </w:t>
      </w:r>
      <w:proofErr w:type="spellStart"/>
      <w:r w:rsidRPr="00A7224F">
        <w:rPr>
          <w:rFonts w:ascii="Verdana" w:hAnsi="Verdana" w:cs="Courier New"/>
          <w:sz w:val="24"/>
          <w:szCs w:val="24"/>
          <w:lang w:val="en-US"/>
        </w:rPr>
        <w:t>GreenForce</w:t>
      </w:r>
      <w:proofErr w:type="spellEnd"/>
      <w:r w:rsidRPr="00A7224F">
        <w:rPr>
          <w:rFonts w:ascii="Verdana" w:hAnsi="Verdana" w:cs="Courier New"/>
          <w:sz w:val="24"/>
          <w:szCs w:val="24"/>
          <w:lang w:val="en-US"/>
        </w:rPr>
        <w:t xml:space="preserve"> 40</w:t>
      </w:r>
      <w:r w:rsidR="00251AAC">
        <w:rPr>
          <w:rFonts w:ascii="Verdana" w:hAnsi="Verdana" w:cs="Courier New"/>
          <w:sz w:val="24"/>
          <w:szCs w:val="24"/>
          <w:lang w:val="en-US"/>
        </w:rPr>
        <w:t>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11. </w:t>
      </w:r>
      <w:r w:rsidRPr="00A7224F">
        <w:rPr>
          <w:rFonts w:ascii="Verdana" w:hAnsi="Verdana" w:cs="Courier New"/>
          <w:sz w:val="24"/>
          <w:szCs w:val="24"/>
          <w:lang w:val="en-US"/>
        </w:rPr>
        <w:t xml:space="preserve">Delta Power, </w:t>
      </w:r>
      <w:proofErr w:type="spellStart"/>
      <w:r w:rsidRPr="00A7224F">
        <w:rPr>
          <w:rFonts w:ascii="Verdana" w:hAnsi="Verdana" w:cs="Courier New"/>
          <w:sz w:val="24"/>
          <w:szCs w:val="24"/>
          <w:lang w:val="en-US"/>
        </w:rPr>
        <w:t>GreenForce</w:t>
      </w:r>
      <w:proofErr w:type="spellEnd"/>
      <w:r w:rsidRPr="00A7224F">
        <w:rPr>
          <w:rFonts w:ascii="Verdana" w:hAnsi="Verdana" w:cs="Courier New"/>
          <w:sz w:val="24"/>
          <w:szCs w:val="24"/>
          <w:lang w:val="en-US"/>
        </w:rPr>
        <w:t xml:space="preserve"> 40</w:t>
      </w:r>
      <w:r w:rsidR="00251AAC">
        <w:rPr>
          <w:rFonts w:ascii="Verdana" w:hAnsi="Verdana" w:cs="Courier New"/>
          <w:sz w:val="24"/>
          <w:szCs w:val="24"/>
          <w:lang w:val="en-US"/>
        </w:rPr>
        <w:t>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12. </w:t>
      </w:r>
      <w:r w:rsidRPr="00A7224F">
        <w:rPr>
          <w:rFonts w:ascii="Verdana" w:hAnsi="Verdana" w:cs="Courier New"/>
          <w:sz w:val="24"/>
          <w:szCs w:val="24"/>
          <w:lang w:val="en-US"/>
        </w:rPr>
        <w:t xml:space="preserve">Delta Power, </w:t>
      </w:r>
      <w:proofErr w:type="spellStart"/>
      <w:r w:rsidRPr="00A7224F">
        <w:rPr>
          <w:rFonts w:ascii="Verdana" w:hAnsi="Verdana" w:cs="Courier New"/>
          <w:sz w:val="24"/>
          <w:szCs w:val="24"/>
          <w:lang w:val="en-US"/>
        </w:rPr>
        <w:t>GreenForce</w:t>
      </w:r>
      <w:proofErr w:type="spellEnd"/>
      <w:r w:rsidRPr="00A7224F">
        <w:rPr>
          <w:rFonts w:ascii="Verdana" w:hAnsi="Verdana" w:cs="Courier New"/>
          <w:sz w:val="24"/>
          <w:szCs w:val="24"/>
          <w:lang w:val="en-US"/>
        </w:rPr>
        <w:t xml:space="preserve"> 60</w:t>
      </w:r>
      <w:r w:rsidR="00251AAC">
        <w:rPr>
          <w:rFonts w:ascii="Verdana" w:hAnsi="Verdana" w:cs="Courier New"/>
          <w:sz w:val="24"/>
          <w:szCs w:val="24"/>
          <w:lang w:val="en-US"/>
        </w:rPr>
        <w:t>kVA</w:t>
      </w:r>
    </w:p>
    <w:p w:rsidR="00A7224F" w:rsidRPr="00997FD0" w:rsidRDefault="00A7224F" w:rsidP="00A7224F">
      <w:pPr>
        <w:rPr>
          <w:rFonts w:ascii="Verdana" w:hAnsi="Verdana" w:cs="Courier New"/>
          <w:sz w:val="24"/>
          <w:szCs w:val="24"/>
          <w:lang w:val="en-US"/>
        </w:rPr>
      </w:pPr>
      <w:r>
        <w:rPr>
          <w:rFonts w:ascii="Verdana" w:hAnsi="Verdana" w:cs="Courier New"/>
          <w:sz w:val="24"/>
          <w:szCs w:val="24"/>
          <w:lang w:val="en-US"/>
        </w:rPr>
        <w:t xml:space="preserve">13. </w:t>
      </w:r>
      <w:r w:rsidRPr="00A7224F">
        <w:rPr>
          <w:rFonts w:ascii="Verdana" w:hAnsi="Verdana" w:cs="Courier New"/>
          <w:sz w:val="24"/>
          <w:szCs w:val="24"/>
          <w:lang w:val="en-US"/>
        </w:rPr>
        <w:t xml:space="preserve">Delta Power, </w:t>
      </w:r>
      <w:proofErr w:type="spellStart"/>
      <w:r w:rsidRPr="00A7224F">
        <w:rPr>
          <w:rFonts w:ascii="Verdana" w:hAnsi="Verdana" w:cs="Courier New"/>
          <w:sz w:val="24"/>
          <w:szCs w:val="24"/>
          <w:lang w:val="en-US"/>
        </w:rPr>
        <w:t>GreenForce</w:t>
      </w:r>
      <w:proofErr w:type="spellEnd"/>
      <w:r w:rsidRPr="00A7224F">
        <w:rPr>
          <w:rFonts w:ascii="Verdana" w:hAnsi="Verdana" w:cs="Courier New"/>
          <w:sz w:val="24"/>
          <w:szCs w:val="24"/>
          <w:lang w:val="en-US"/>
        </w:rPr>
        <w:t xml:space="preserve"> 60</w:t>
      </w:r>
      <w:r w:rsidR="00251AAC">
        <w:rPr>
          <w:rFonts w:ascii="Verdana" w:hAnsi="Verdana" w:cs="Courier New"/>
          <w:sz w:val="24"/>
          <w:szCs w:val="24"/>
          <w:lang w:val="en-US"/>
        </w:rPr>
        <w:t>kVA</w:t>
      </w:r>
    </w:p>
    <w:p w:rsidR="00A7224F" w:rsidRPr="00A7224F" w:rsidRDefault="00A7224F" w:rsidP="00A7224F">
      <w:pPr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14. </w:t>
      </w:r>
      <w:r w:rsidR="00251AAC">
        <w:rPr>
          <w:rFonts w:ascii="Verdana" w:hAnsi="Verdana" w:cs="Courier New"/>
          <w:sz w:val="24"/>
          <w:szCs w:val="24"/>
        </w:rPr>
        <w:t>APS Energia PBI 220/50</w:t>
      </w:r>
    </w:p>
    <w:p w:rsidR="003F3E51" w:rsidRPr="00FD3664" w:rsidRDefault="003F3E51" w:rsidP="00FD3664">
      <w:pPr>
        <w:pStyle w:val="HTML-wstpniesformatowany"/>
        <w:rPr>
          <w:rFonts w:ascii="Verdana" w:hAnsi="Verdana"/>
          <w:sz w:val="24"/>
          <w:szCs w:val="24"/>
        </w:rPr>
      </w:pPr>
    </w:p>
    <w:p w:rsidR="003F3E51" w:rsidRPr="003F3E51" w:rsidRDefault="003F3E51" w:rsidP="003F3E51">
      <w:pPr>
        <w:pStyle w:val="Akapitzlist1"/>
        <w:numPr>
          <w:ilvl w:val="0"/>
          <w:numId w:val="3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8508F8">
        <w:rPr>
          <w:rFonts w:ascii="Verdana" w:hAnsi="Verdana"/>
          <w:b/>
          <w:sz w:val="24"/>
          <w:szCs w:val="24"/>
          <w:u w:val="single"/>
        </w:rPr>
        <w:t>Wymagania Zamawiającego dotyczące kwalifikacji i doświadczenia osób wykonujących zadanie.</w:t>
      </w:r>
    </w:p>
    <w:p w:rsidR="007D73EC" w:rsidRPr="009B01D9" w:rsidRDefault="007D73EC" w:rsidP="007D73EC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7D73EC" w:rsidRPr="003F3E51" w:rsidRDefault="007D73EC" w:rsidP="007D73EC">
      <w:pPr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F3E51">
        <w:rPr>
          <w:rFonts w:ascii="Verdana" w:hAnsi="Verdana"/>
          <w:sz w:val="24"/>
          <w:szCs w:val="24"/>
        </w:rPr>
        <w:t>wszelkie prace konserwacyjne, naprawcze i pozostałe wynikające z umowy będą wykonywane wyłącznie przez wykwalifikowanych specjalistów z odpowiednimi uprawnieniami tj.:</w:t>
      </w:r>
    </w:p>
    <w:p w:rsidR="003F3E51" w:rsidRDefault="007D73EC" w:rsidP="003F3E51">
      <w:pPr>
        <w:autoSpaceDE w:val="0"/>
        <w:autoSpaceDN w:val="0"/>
        <w:adjustRightInd w:val="0"/>
        <w:ind w:left="1068" w:firstLine="1"/>
        <w:jc w:val="both"/>
        <w:rPr>
          <w:rFonts w:ascii="Verdana" w:hAnsi="Verdana"/>
          <w:sz w:val="24"/>
          <w:szCs w:val="24"/>
        </w:rPr>
      </w:pPr>
      <w:r w:rsidRPr="003F3E51">
        <w:rPr>
          <w:rFonts w:ascii="Verdana" w:hAnsi="Verdana"/>
          <w:sz w:val="24"/>
          <w:szCs w:val="24"/>
        </w:rPr>
        <w:t xml:space="preserve">- posiadające Świadectwa kwalifikacyjnego D uprawniającego do prac związanych z dozorem urządzeń, instalacji i sieci elektroenergetycznych zgodnie z przepisami Rozporządzenia Ministra Gospodarki, Pracy i Polityki Społecznej z dnia 28.04.2003 r. w sprawie szczegółowych zasad stwierdzenia posiadania </w:t>
      </w:r>
      <w:r w:rsidRPr="003F3E51">
        <w:rPr>
          <w:rFonts w:ascii="Verdana" w:hAnsi="Verdana"/>
          <w:sz w:val="24"/>
          <w:szCs w:val="24"/>
        </w:rPr>
        <w:lastRenderedPageBreak/>
        <w:t xml:space="preserve">kwalifikacji przez osoby zajmujące się eksploatacją urządzeń, instalacji i sieci (Dz. U. nr 89 poz. 828) </w:t>
      </w:r>
      <w:r w:rsidRPr="003F3E51">
        <w:rPr>
          <w:rFonts w:ascii="Verdana" w:hAnsi="Verdana"/>
          <w:sz w:val="24"/>
          <w:szCs w:val="24"/>
        </w:rPr>
        <w:br/>
        <w:t>- posiadające Świadectwa kwalifikacyjnego E uprawniającego do prac związanych z eksploatacją i pomiarami urządzeń, instalacji i sieci elektroenergetycznych zgodnie z przepisami Rozporządzenia Ministra Gospodarki, Pracy i Polityki Społecznej z dnia 28.04.2003 r. w sprawie szczegółowych zasad stwierdzenia posiadania kwalifikacji przez osoby zajmujące się eksploatacją urządzeń, instalacji i sieci (Dz. U. nr 89 poz</w:t>
      </w:r>
      <w:r w:rsidR="003F3E51">
        <w:rPr>
          <w:rFonts w:ascii="Verdana" w:hAnsi="Verdana"/>
          <w:sz w:val="24"/>
          <w:szCs w:val="24"/>
        </w:rPr>
        <w:t>. 828).</w:t>
      </w:r>
    </w:p>
    <w:p w:rsidR="00881492" w:rsidRDefault="00881492" w:rsidP="003F3E51">
      <w:pPr>
        <w:autoSpaceDE w:val="0"/>
        <w:autoSpaceDN w:val="0"/>
        <w:adjustRightInd w:val="0"/>
        <w:ind w:left="1068" w:firstLine="1"/>
        <w:jc w:val="both"/>
        <w:rPr>
          <w:rFonts w:ascii="Verdana" w:hAnsi="Verdana"/>
          <w:sz w:val="24"/>
          <w:szCs w:val="24"/>
        </w:rPr>
      </w:pPr>
    </w:p>
    <w:p w:rsidR="003F3E51" w:rsidRPr="00881492" w:rsidRDefault="003F3E51" w:rsidP="003F3E51">
      <w:pPr>
        <w:pStyle w:val="Akapitzlist1"/>
        <w:numPr>
          <w:ilvl w:val="0"/>
          <w:numId w:val="3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6A3A57">
        <w:rPr>
          <w:rFonts w:ascii="Verdana" w:hAnsi="Verdana"/>
          <w:b/>
          <w:sz w:val="24"/>
          <w:szCs w:val="24"/>
          <w:u w:val="single"/>
        </w:rPr>
        <w:t xml:space="preserve">Zakres przeglądu </w:t>
      </w:r>
      <w:r>
        <w:rPr>
          <w:rFonts w:ascii="Verdana" w:hAnsi="Verdana"/>
          <w:b/>
          <w:sz w:val="24"/>
          <w:szCs w:val="24"/>
          <w:u w:val="single"/>
        </w:rPr>
        <w:t>serwisowego urządzeń zasilania</w:t>
      </w:r>
      <w:r w:rsidR="00223862">
        <w:rPr>
          <w:rFonts w:ascii="Verdana" w:hAnsi="Verdana"/>
          <w:b/>
          <w:sz w:val="24"/>
          <w:szCs w:val="24"/>
          <w:u w:val="single"/>
        </w:rPr>
        <w:t xml:space="preserve"> bezprzerwowego</w:t>
      </w:r>
    </w:p>
    <w:p w:rsidR="00881492" w:rsidRPr="003F3E51" w:rsidRDefault="00881492" w:rsidP="00881492">
      <w:pPr>
        <w:pStyle w:val="Akapitzlist1"/>
        <w:spacing w:line="276" w:lineRule="auto"/>
        <w:ind w:left="0"/>
        <w:rPr>
          <w:rFonts w:ascii="Verdana" w:hAnsi="Verdana"/>
          <w:b/>
          <w:sz w:val="24"/>
          <w:szCs w:val="24"/>
        </w:rPr>
      </w:pPr>
    </w:p>
    <w:p w:rsidR="00223862" w:rsidRDefault="00881492" w:rsidP="0022386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urządzeni</w:t>
      </w:r>
      <w:r w:rsidR="00A7224F">
        <w:rPr>
          <w:rFonts w:ascii="Verdana" w:hAnsi="Verdana"/>
          <w:b/>
          <w:sz w:val="24"/>
          <w:szCs w:val="24"/>
        </w:rPr>
        <w:t>a pkt. II pozycja od 1 do 13</w:t>
      </w:r>
    </w:p>
    <w:p w:rsidR="00B02DE6" w:rsidRDefault="00B02DE6" w:rsidP="00223862">
      <w:pPr>
        <w:rPr>
          <w:rFonts w:ascii="Verdana" w:hAnsi="Verdana"/>
          <w:b/>
          <w:sz w:val="24"/>
          <w:szCs w:val="24"/>
        </w:rPr>
      </w:pP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sprawdzenie warunków pracy urządzenia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 xml:space="preserve">oczyszczenie wnętrza urządzenia 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 xml:space="preserve">sprawdzenie okablowania wew. </w:t>
      </w:r>
      <w:r w:rsidR="00223862" w:rsidRPr="00223862">
        <w:rPr>
          <w:rFonts w:ascii="Verdana" w:hAnsi="Verdana"/>
          <w:sz w:val="24"/>
          <w:szCs w:val="24"/>
        </w:rPr>
        <w:t>U</w:t>
      </w:r>
      <w:r w:rsidRPr="00223862">
        <w:rPr>
          <w:rFonts w:ascii="Verdana" w:hAnsi="Verdana"/>
          <w:sz w:val="24"/>
          <w:szCs w:val="24"/>
        </w:rPr>
        <w:t>rządzenia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sprawdzenie stanu izolacji zasilacza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sprawdzenie okablowania dochodzącego i wychodzącego z UPS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sprawdzenie stanu akumulatorów (pomiar rezystancji wew.)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diagnostykę zasilacza przy użyciu oprogramowania serwisowego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testowanie urządzenia – systemu</w:t>
      </w:r>
    </w:p>
    <w:p w:rsidR="00223862" w:rsidRPr="00424A4C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pomiar parametrów zasilacza</w:t>
      </w:r>
    </w:p>
    <w:p w:rsidR="00424A4C" w:rsidRPr="00223862" w:rsidRDefault="00424A4C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test pojemności baterii</w:t>
      </w:r>
    </w:p>
    <w:p w:rsidR="00223862" w:rsidRPr="00223862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regulację i kalibrację urządzenia w razie konieczności</w:t>
      </w:r>
    </w:p>
    <w:p w:rsidR="00FD3664" w:rsidRPr="00B02DE6" w:rsidRDefault="00FD3664" w:rsidP="00223862">
      <w:pPr>
        <w:pStyle w:val="Akapitzlist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 w:rsidRPr="00223862">
        <w:rPr>
          <w:rFonts w:ascii="Verdana" w:hAnsi="Verdana"/>
          <w:sz w:val="24"/>
          <w:szCs w:val="24"/>
        </w:rPr>
        <w:t>protokół z przeprowadzonych czynności i zalecenia</w:t>
      </w:r>
      <w:r w:rsidR="00B02DE6">
        <w:rPr>
          <w:rFonts w:ascii="Verdana" w:hAnsi="Verdana"/>
          <w:sz w:val="24"/>
          <w:szCs w:val="24"/>
        </w:rPr>
        <w:t xml:space="preserve"> pokontrolne</w:t>
      </w:r>
    </w:p>
    <w:p w:rsidR="00B02DE6" w:rsidRPr="00424A4C" w:rsidRDefault="00B02DE6" w:rsidP="00B02DE6">
      <w:pPr>
        <w:pStyle w:val="Akapitzlist"/>
        <w:rPr>
          <w:rFonts w:ascii="Verdana" w:hAnsi="Verdana"/>
          <w:b/>
          <w:sz w:val="24"/>
          <w:szCs w:val="24"/>
        </w:rPr>
      </w:pPr>
    </w:p>
    <w:p w:rsidR="00424A4C" w:rsidRPr="00424A4C" w:rsidRDefault="00424A4C" w:rsidP="00424A4C">
      <w:pPr>
        <w:ind w:left="360"/>
        <w:rPr>
          <w:rFonts w:ascii="Verdana" w:hAnsi="Verdana"/>
          <w:b/>
          <w:sz w:val="24"/>
          <w:szCs w:val="24"/>
        </w:rPr>
      </w:pPr>
      <w:r w:rsidRPr="00AD357A">
        <w:rPr>
          <w:rFonts w:ascii="Verdana" w:hAnsi="Verdana"/>
          <w:b/>
          <w:sz w:val="24"/>
          <w:szCs w:val="24"/>
        </w:rPr>
        <w:t>Uwaga</w:t>
      </w:r>
      <w:r>
        <w:rPr>
          <w:rFonts w:ascii="Verdana" w:hAnsi="Verdana"/>
          <w:b/>
          <w:sz w:val="24"/>
          <w:szCs w:val="24"/>
        </w:rPr>
        <w:t xml:space="preserve"> w zakres przeglądu urządzeń wymienionych w pkt. II pozycje od 1 do 8 należy wliczyć wymianę baterii</w:t>
      </w:r>
    </w:p>
    <w:p w:rsidR="00881492" w:rsidRPr="00FD3664" w:rsidRDefault="00881492" w:rsidP="00881492">
      <w:pPr>
        <w:tabs>
          <w:tab w:val="left" w:pos="360"/>
        </w:tabs>
        <w:ind w:left="714"/>
        <w:jc w:val="both"/>
        <w:rPr>
          <w:rFonts w:ascii="Verdana" w:hAnsi="Verdana"/>
          <w:sz w:val="24"/>
          <w:szCs w:val="24"/>
        </w:rPr>
      </w:pPr>
    </w:p>
    <w:p w:rsidR="00881492" w:rsidRDefault="00A7224F" w:rsidP="00881492">
      <w:pPr>
        <w:pStyle w:val="Default"/>
        <w:rPr>
          <w:b/>
        </w:rPr>
      </w:pPr>
      <w:r>
        <w:rPr>
          <w:b/>
        </w:rPr>
        <w:t>urządzenie pkt. II pozycja 14</w:t>
      </w:r>
    </w:p>
    <w:p w:rsidR="00B02DE6" w:rsidRDefault="00B02DE6" w:rsidP="00881492">
      <w:pPr>
        <w:pStyle w:val="Default"/>
        <w:rPr>
          <w:b/>
        </w:rPr>
      </w:pPr>
    </w:p>
    <w:p w:rsidR="00881492" w:rsidRPr="00881492" w:rsidRDefault="00881492" w:rsidP="00881492">
      <w:pPr>
        <w:pStyle w:val="Default"/>
        <w:numPr>
          <w:ilvl w:val="0"/>
          <w:numId w:val="7"/>
        </w:numPr>
        <w:jc w:val="both"/>
        <w:rPr>
          <w:b/>
        </w:rPr>
      </w:pPr>
      <w:r w:rsidRPr="00881492">
        <w:t>czyszczenie urządzenia i wymiana wkładek filtrów przeciwpyłowych,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  <w:jc w:val="both"/>
        <w:rPr>
          <w:b/>
        </w:rPr>
      </w:pPr>
      <w:r w:rsidRPr="00881492">
        <w:t>kontrola warunków pracy urządzenia i wyposażenia dodatkowego (wartość obciążenia, napięcia zasilające, temperatura</w:t>
      </w:r>
      <w:r>
        <w:t xml:space="preserve"> w pomieszczeniach itd.),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 xml:space="preserve">sprawdzenie części mocy( ewentualna modernizacja), 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 xml:space="preserve">sprawdzenie elektroniki sterującej, 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 xml:space="preserve">sprawdzenie zasilaczy wewnętrznych, 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>sprawdzenie zacisków połączeniowych w urzą</w:t>
      </w:r>
      <w:r>
        <w:t xml:space="preserve">dzeniu oraz stanu </w:t>
      </w:r>
      <w:r w:rsidRPr="00881492">
        <w:t xml:space="preserve">zabezpieczeń wewnętrznych, 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 xml:space="preserve">wzrokowa kontrola ciągłości i jakości połączeń przewodów ochronnych i głównych torów prądowych, </w:t>
      </w:r>
    </w:p>
    <w:p w:rsidR="00881492" w:rsidRPr="00881492" w:rsidRDefault="00881492" w:rsidP="00881492">
      <w:pPr>
        <w:pStyle w:val="Default"/>
        <w:numPr>
          <w:ilvl w:val="0"/>
          <w:numId w:val="7"/>
        </w:numPr>
      </w:pPr>
      <w:r w:rsidRPr="00881492">
        <w:t xml:space="preserve">kontrola stanu elementów pozostałych płyt elektroniki </w:t>
      </w:r>
    </w:p>
    <w:p w:rsidR="00881492" w:rsidRPr="00E53E69" w:rsidRDefault="00881492" w:rsidP="00881492">
      <w:pPr>
        <w:pStyle w:val="Default"/>
        <w:numPr>
          <w:ilvl w:val="0"/>
          <w:numId w:val="7"/>
        </w:numPr>
      </w:pPr>
      <w:r w:rsidRPr="00881492">
        <w:t xml:space="preserve">sprawdzenie parametrów/nastaw urządzenia, jeśli konieczne ich </w:t>
      </w:r>
      <w:r w:rsidRPr="00E53E69">
        <w:t>kalibracja,</w:t>
      </w:r>
    </w:p>
    <w:p w:rsidR="00881492" w:rsidRPr="00E53E69" w:rsidRDefault="00881492" w:rsidP="00881492">
      <w:pPr>
        <w:pStyle w:val="Default"/>
        <w:numPr>
          <w:ilvl w:val="0"/>
          <w:numId w:val="7"/>
        </w:numPr>
      </w:pPr>
      <w:r w:rsidRPr="00E53E69">
        <w:lastRenderedPageBreak/>
        <w:t xml:space="preserve">wykonanie testów funkcjonalnych/sprawdzenie urządzenia, </w:t>
      </w:r>
    </w:p>
    <w:p w:rsidR="00E53E69" w:rsidRPr="00E53E69" w:rsidRDefault="00E53E69" w:rsidP="00E53E69">
      <w:pPr>
        <w:pStyle w:val="Default"/>
        <w:numPr>
          <w:ilvl w:val="0"/>
          <w:numId w:val="7"/>
        </w:numPr>
      </w:pPr>
      <w:r w:rsidRPr="00E53E69">
        <w:t>sprawdzenie połączeń miedzy blokowych baterii</w:t>
      </w:r>
      <w:r w:rsidR="00223862">
        <w:t xml:space="preserve"> ( ewentualna wymiana)</w:t>
      </w:r>
      <w:r w:rsidRPr="00E53E69">
        <w:t xml:space="preserve">, </w:t>
      </w:r>
    </w:p>
    <w:p w:rsidR="00E53E69" w:rsidRPr="00424A4C" w:rsidRDefault="00223862" w:rsidP="00E53E69">
      <w:pPr>
        <w:pStyle w:val="Default"/>
        <w:numPr>
          <w:ilvl w:val="0"/>
          <w:numId w:val="7"/>
        </w:numPr>
        <w:rPr>
          <w:b/>
        </w:rPr>
      </w:pPr>
      <w:r w:rsidRPr="00424A4C">
        <w:rPr>
          <w:b/>
        </w:rPr>
        <w:t>wymiana kompletu baterii</w:t>
      </w:r>
    </w:p>
    <w:p w:rsidR="00E53E69" w:rsidRPr="00E53E69" w:rsidRDefault="00424A4C" w:rsidP="00E53E69">
      <w:pPr>
        <w:pStyle w:val="Default"/>
        <w:numPr>
          <w:ilvl w:val="0"/>
          <w:numId w:val="7"/>
        </w:numPr>
      </w:pPr>
      <w:r>
        <w:t>test pojemności baterii</w:t>
      </w:r>
    </w:p>
    <w:p w:rsidR="00FA3923" w:rsidRPr="00273721" w:rsidRDefault="00FA3923" w:rsidP="007D73EC">
      <w:pPr>
        <w:rPr>
          <w:rFonts w:ascii="Verdana" w:hAnsi="Verdana"/>
        </w:rPr>
      </w:pPr>
    </w:p>
    <w:p w:rsidR="003F3E51" w:rsidRDefault="003F3E51" w:rsidP="003F3E51">
      <w:pPr>
        <w:pStyle w:val="Akapitzlist"/>
        <w:numPr>
          <w:ilvl w:val="0"/>
          <w:numId w:val="3"/>
        </w:numPr>
        <w:rPr>
          <w:rFonts w:ascii="Verdana" w:hAnsi="Verdana"/>
          <w:b/>
          <w:sz w:val="24"/>
          <w:szCs w:val="24"/>
          <w:u w:val="single"/>
        </w:rPr>
      </w:pPr>
      <w:r w:rsidRPr="003F3E51">
        <w:rPr>
          <w:rFonts w:ascii="Verdana" w:hAnsi="Verdana"/>
          <w:b/>
          <w:sz w:val="24"/>
          <w:szCs w:val="24"/>
          <w:u w:val="single"/>
        </w:rPr>
        <w:t>Obowiązki Wykonawcy po wykonanym przeglądzie serwisowym</w:t>
      </w:r>
    </w:p>
    <w:p w:rsidR="00AA5083" w:rsidRPr="00AA5083" w:rsidRDefault="00AA5083" w:rsidP="00AA5083">
      <w:pPr>
        <w:ind w:left="360"/>
        <w:rPr>
          <w:rFonts w:ascii="Verdana" w:hAnsi="Verdana"/>
          <w:b/>
          <w:sz w:val="24"/>
          <w:szCs w:val="24"/>
          <w:u w:val="single"/>
        </w:rPr>
      </w:pPr>
    </w:p>
    <w:p w:rsidR="00FA3923" w:rsidRPr="00AA5083" w:rsidRDefault="00AA5083" w:rsidP="00FA3923">
      <w:pPr>
        <w:rPr>
          <w:rFonts w:ascii="Verdana" w:hAnsi="Verdana"/>
          <w:sz w:val="24"/>
          <w:szCs w:val="24"/>
        </w:rPr>
      </w:pPr>
      <w:r w:rsidRPr="00AA5083">
        <w:rPr>
          <w:rFonts w:ascii="Verdana" w:hAnsi="Verdana" w:cs="Arial"/>
          <w:sz w:val="24"/>
          <w:szCs w:val="24"/>
        </w:rPr>
        <w:t xml:space="preserve">Zamawiający przewiduje </w:t>
      </w:r>
      <w:r>
        <w:rPr>
          <w:rFonts w:ascii="Verdana" w:hAnsi="Verdana" w:cs="Arial"/>
          <w:b/>
          <w:bCs/>
          <w:sz w:val="24"/>
          <w:szCs w:val="24"/>
        </w:rPr>
        <w:t>okres świadczenia usługi do 6</w:t>
      </w:r>
      <w:r w:rsidRPr="00AA5083">
        <w:rPr>
          <w:rFonts w:ascii="Verdana" w:hAnsi="Verdana" w:cs="Arial"/>
          <w:b/>
          <w:bCs/>
          <w:sz w:val="24"/>
          <w:szCs w:val="24"/>
        </w:rPr>
        <w:t xml:space="preserve"> miesięcy</w:t>
      </w:r>
      <w:r w:rsidRPr="00AA5083">
        <w:rPr>
          <w:rFonts w:ascii="Verdana" w:hAnsi="Verdana" w:cs="Arial"/>
          <w:sz w:val="24"/>
          <w:szCs w:val="24"/>
        </w:rPr>
        <w:t xml:space="preserve"> od dnia zawarcia umowy.</w:t>
      </w:r>
    </w:p>
    <w:p w:rsidR="00F11BFC" w:rsidRDefault="00F11BFC" w:rsidP="00F11BFC">
      <w:pPr>
        <w:rPr>
          <w:rFonts w:ascii="Verdana" w:hAnsi="Verdana"/>
          <w:sz w:val="24"/>
          <w:szCs w:val="24"/>
        </w:rPr>
      </w:pPr>
      <w:r w:rsidRPr="00A245D3">
        <w:rPr>
          <w:rFonts w:ascii="Verdana" w:hAnsi="Verdana"/>
          <w:sz w:val="24"/>
          <w:szCs w:val="24"/>
        </w:rPr>
        <w:t>Wykonawca jest zobowiązany do:</w:t>
      </w:r>
    </w:p>
    <w:p w:rsidR="00F11BFC" w:rsidRPr="0025308B" w:rsidRDefault="00F11BFC" w:rsidP="00F11BFC">
      <w:pPr>
        <w:rPr>
          <w:rFonts w:ascii="Verdana" w:hAnsi="Verdana"/>
          <w:sz w:val="24"/>
          <w:szCs w:val="24"/>
        </w:rPr>
      </w:pPr>
      <w:r w:rsidRPr="0025308B">
        <w:rPr>
          <w:rFonts w:ascii="Verdana" w:hAnsi="Verdana"/>
          <w:sz w:val="24"/>
          <w:szCs w:val="24"/>
        </w:rPr>
        <w:t>- Pisemne</w:t>
      </w:r>
      <w:r>
        <w:rPr>
          <w:rFonts w:ascii="Verdana" w:hAnsi="Verdana"/>
          <w:sz w:val="24"/>
          <w:szCs w:val="24"/>
        </w:rPr>
        <w:t>go informowania</w:t>
      </w:r>
      <w:r w:rsidRPr="0025308B">
        <w:rPr>
          <w:rFonts w:ascii="Verdana" w:hAnsi="Verdana"/>
          <w:sz w:val="24"/>
          <w:szCs w:val="24"/>
        </w:rPr>
        <w:t xml:space="preserve"> uprawnionego pracownika Zamawiającego – Kierownika Sekcji elektryczne</w:t>
      </w:r>
      <w:r>
        <w:rPr>
          <w:rFonts w:ascii="Verdana" w:hAnsi="Verdana"/>
          <w:sz w:val="24"/>
          <w:szCs w:val="24"/>
        </w:rPr>
        <w:t>j  o stanie technicznym urządze</w:t>
      </w:r>
      <w:r w:rsidR="0052613A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ia</w:t>
      </w:r>
      <w:r w:rsidRPr="0025308B">
        <w:rPr>
          <w:rFonts w:ascii="Verdana" w:hAnsi="Verdana"/>
          <w:sz w:val="24"/>
          <w:szCs w:val="24"/>
        </w:rPr>
        <w:t>. Odbywać się</w:t>
      </w:r>
      <w:r>
        <w:rPr>
          <w:rFonts w:ascii="Verdana" w:hAnsi="Verdana"/>
          <w:sz w:val="24"/>
          <w:szCs w:val="24"/>
        </w:rPr>
        <w:t xml:space="preserve"> to będzie w formie pokontrolnych</w:t>
      </w:r>
      <w:r w:rsidRPr="0025308B">
        <w:rPr>
          <w:rFonts w:ascii="Verdana" w:hAnsi="Verdana"/>
          <w:sz w:val="24"/>
          <w:szCs w:val="24"/>
        </w:rPr>
        <w:t xml:space="preserve"> protokołów</w:t>
      </w:r>
      <w:r>
        <w:rPr>
          <w:rFonts w:ascii="Verdana" w:hAnsi="Verdana"/>
          <w:sz w:val="24"/>
          <w:szCs w:val="24"/>
        </w:rPr>
        <w:t xml:space="preserve"> serwisowych (wzór protokołu zostanie dostarczony wraz z ofertą wykonawcy)</w:t>
      </w:r>
      <w:r w:rsidRPr="0025308B">
        <w:rPr>
          <w:rFonts w:ascii="Verdana" w:hAnsi="Verdana"/>
          <w:sz w:val="24"/>
          <w:szCs w:val="24"/>
        </w:rPr>
        <w:t xml:space="preserve"> w których zawarty będzie zakres wykonanych czynności konserwacyjnych oraz wykaz ewentualnych nieprawidłowości. Protokół kierowany będzie do Dz</w:t>
      </w:r>
      <w:r>
        <w:rPr>
          <w:rFonts w:ascii="Verdana" w:hAnsi="Verdana"/>
          <w:sz w:val="24"/>
          <w:szCs w:val="24"/>
        </w:rPr>
        <w:t>iału Technicznego Zamawiającego, p</w:t>
      </w:r>
      <w:r w:rsidRPr="0025308B">
        <w:rPr>
          <w:rFonts w:ascii="Verdana" w:hAnsi="Verdana"/>
          <w:sz w:val="24"/>
          <w:szCs w:val="24"/>
        </w:rPr>
        <w:t>otwierdzony przez Kierowni</w:t>
      </w:r>
      <w:r>
        <w:rPr>
          <w:rFonts w:ascii="Verdana" w:hAnsi="Verdana"/>
          <w:sz w:val="24"/>
          <w:szCs w:val="24"/>
        </w:rPr>
        <w:t>ka Sekcji elektrycznej</w:t>
      </w:r>
      <w:r w:rsidRPr="0025308B">
        <w:rPr>
          <w:rFonts w:ascii="Verdana" w:hAnsi="Verdana"/>
          <w:sz w:val="24"/>
          <w:szCs w:val="24"/>
        </w:rPr>
        <w:t xml:space="preserve"> stanowić będzie </w:t>
      </w:r>
      <w:r>
        <w:rPr>
          <w:rFonts w:ascii="Verdana" w:hAnsi="Verdana"/>
          <w:sz w:val="24"/>
          <w:szCs w:val="24"/>
        </w:rPr>
        <w:t xml:space="preserve">podstawę </w:t>
      </w:r>
      <w:r w:rsidRPr="0025308B"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z w:val="24"/>
          <w:szCs w:val="24"/>
        </w:rPr>
        <w:t xml:space="preserve"> wystawienia</w:t>
      </w:r>
      <w:r w:rsidRPr="0025308B">
        <w:rPr>
          <w:rFonts w:ascii="Verdana" w:hAnsi="Verdana"/>
          <w:sz w:val="24"/>
          <w:szCs w:val="24"/>
        </w:rPr>
        <w:t xml:space="preserve"> faktury </w:t>
      </w:r>
      <w:r>
        <w:rPr>
          <w:rFonts w:ascii="Verdana" w:hAnsi="Verdana"/>
          <w:sz w:val="24"/>
          <w:szCs w:val="24"/>
        </w:rPr>
        <w:t xml:space="preserve">cząstkowej </w:t>
      </w:r>
      <w:r w:rsidRPr="0025308B">
        <w:rPr>
          <w:rFonts w:ascii="Verdana" w:hAnsi="Verdana"/>
          <w:sz w:val="24"/>
          <w:szCs w:val="24"/>
        </w:rPr>
        <w:t>z</w:t>
      </w:r>
      <w:r w:rsidR="00997FD0">
        <w:rPr>
          <w:rFonts w:ascii="Verdana" w:hAnsi="Verdana"/>
          <w:sz w:val="24"/>
          <w:szCs w:val="24"/>
        </w:rPr>
        <w:t>a wykonany przedmiot zamówienia. Suma faktur cząstkowych wystawionych na podstawie protokołów z przeglądów</w:t>
      </w:r>
      <w:r w:rsidR="00C345C1">
        <w:rPr>
          <w:rFonts w:ascii="Verdana" w:hAnsi="Verdana"/>
          <w:sz w:val="24"/>
          <w:szCs w:val="24"/>
        </w:rPr>
        <w:t xml:space="preserve"> każdego urządzenia</w:t>
      </w:r>
      <w:r w:rsidR="00997FD0">
        <w:rPr>
          <w:rFonts w:ascii="Verdana" w:hAnsi="Verdana"/>
          <w:sz w:val="24"/>
          <w:szCs w:val="24"/>
        </w:rPr>
        <w:t xml:space="preserve"> nie może przekroczyć</w:t>
      </w:r>
      <w:r w:rsidR="00C345C1">
        <w:rPr>
          <w:rFonts w:ascii="Verdana" w:hAnsi="Verdana"/>
          <w:sz w:val="24"/>
          <w:szCs w:val="24"/>
        </w:rPr>
        <w:t xml:space="preserve"> wartości przedmiotu umowy.</w:t>
      </w:r>
      <w:r w:rsidR="00997FD0">
        <w:rPr>
          <w:rFonts w:ascii="Verdana" w:hAnsi="Verdana"/>
          <w:sz w:val="24"/>
          <w:szCs w:val="24"/>
        </w:rPr>
        <w:t xml:space="preserve"> </w:t>
      </w:r>
    </w:p>
    <w:p w:rsidR="00F11BFC" w:rsidRDefault="00F11BFC" w:rsidP="00F11BFC">
      <w:pPr>
        <w:rPr>
          <w:rFonts w:ascii="Verdana" w:hAnsi="Verdana"/>
          <w:sz w:val="24"/>
          <w:szCs w:val="24"/>
        </w:rPr>
      </w:pPr>
      <w:r w:rsidRPr="0025308B">
        <w:rPr>
          <w:rFonts w:ascii="Verdana" w:hAnsi="Verdana"/>
          <w:sz w:val="24"/>
          <w:szCs w:val="24"/>
        </w:rPr>
        <w:t xml:space="preserve">- </w:t>
      </w:r>
      <w:r w:rsidRPr="0025308B">
        <w:rPr>
          <w:rFonts w:ascii="Verdana" w:hAnsi="Verdana" w:cs="Arial"/>
          <w:bCs/>
          <w:sz w:val="24"/>
          <w:szCs w:val="24"/>
        </w:rPr>
        <w:t xml:space="preserve">Prowadzenia </w:t>
      </w:r>
      <w:r w:rsidR="00C345C1">
        <w:rPr>
          <w:rFonts w:ascii="Verdana" w:hAnsi="Verdana" w:cs="Arial"/>
          <w:bCs/>
          <w:sz w:val="24"/>
          <w:szCs w:val="24"/>
        </w:rPr>
        <w:t xml:space="preserve">przeglądów serwisowych </w:t>
      </w:r>
      <w:r w:rsidR="00C345C1">
        <w:rPr>
          <w:rFonts w:ascii="Verdana" w:hAnsi="Verdana"/>
          <w:sz w:val="24"/>
          <w:szCs w:val="24"/>
        </w:rPr>
        <w:t>urządzeń</w:t>
      </w:r>
      <w:r w:rsidRPr="0025308B">
        <w:rPr>
          <w:rFonts w:ascii="Verdana" w:hAnsi="Verdana"/>
          <w:sz w:val="24"/>
          <w:szCs w:val="24"/>
        </w:rPr>
        <w:t xml:space="preserve"> w</w:t>
      </w:r>
      <w:r>
        <w:rPr>
          <w:rFonts w:ascii="Verdana" w:hAnsi="Verdana"/>
          <w:sz w:val="24"/>
          <w:szCs w:val="24"/>
        </w:rPr>
        <w:t xml:space="preserve"> terminach umówionych z uprawnionym pracownikiem Działu Technicznego Sekcji elektrycznej  Zamawiającego</w:t>
      </w:r>
      <w:r w:rsidR="00997FD0">
        <w:rPr>
          <w:rFonts w:ascii="Verdana" w:hAnsi="Verdana"/>
          <w:sz w:val="24"/>
          <w:szCs w:val="24"/>
        </w:rPr>
        <w:t xml:space="preserve"> na podstawie harmonogramu</w:t>
      </w:r>
      <w:r w:rsidR="005D43CA">
        <w:rPr>
          <w:rFonts w:ascii="Verdana" w:hAnsi="Verdana"/>
          <w:sz w:val="24"/>
          <w:szCs w:val="24"/>
        </w:rPr>
        <w:t>, który zostanie ustalony po podpisaniu umowy</w:t>
      </w:r>
      <w:r>
        <w:rPr>
          <w:rFonts w:ascii="Verdana" w:hAnsi="Verdana"/>
          <w:sz w:val="24"/>
          <w:szCs w:val="24"/>
        </w:rPr>
        <w:t>.</w:t>
      </w:r>
    </w:p>
    <w:p w:rsidR="00F11BFC" w:rsidRPr="0025308B" w:rsidRDefault="00F11BFC" w:rsidP="00F11BFC">
      <w:pPr>
        <w:rPr>
          <w:rFonts w:ascii="Verdana" w:hAnsi="Verdana"/>
          <w:sz w:val="24"/>
          <w:szCs w:val="24"/>
        </w:rPr>
      </w:pPr>
      <w:r w:rsidRPr="0025308B">
        <w:rPr>
          <w:rFonts w:ascii="Verdana" w:hAnsi="Verdana"/>
          <w:sz w:val="24"/>
          <w:szCs w:val="24"/>
        </w:rPr>
        <w:t>- W przypadku naprawy, której usunięcie wymaga użycia części zamiennych nie wchodzących w m</w:t>
      </w:r>
      <w:r>
        <w:rPr>
          <w:rFonts w:ascii="Verdana" w:hAnsi="Verdana"/>
          <w:sz w:val="24"/>
          <w:szCs w:val="24"/>
        </w:rPr>
        <w:t>ateriały eksploatacyjne wliczone w przedmiot przeglądów</w:t>
      </w:r>
      <w:r w:rsidRPr="0025308B">
        <w:rPr>
          <w:rFonts w:ascii="Verdana" w:hAnsi="Verdana"/>
          <w:sz w:val="24"/>
          <w:szCs w:val="24"/>
        </w:rPr>
        <w:t xml:space="preserve"> Wykonawca może dokonać zakupu części, pod warunkiem że zostanie zatwierdzony wniosek o uruchomienie procedury zamówienia publicznego</w:t>
      </w:r>
      <w:r>
        <w:rPr>
          <w:rFonts w:ascii="Verdana" w:hAnsi="Verdana"/>
          <w:sz w:val="24"/>
          <w:szCs w:val="24"/>
        </w:rPr>
        <w:t xml:space="preserve"> do realizacji w trybie art. 2 ust. 1</w:t>
      </w:r>
      <w:r w:rsidRPr="0025308B">
        <w:rPr>
          <w:rFonts w:ascii="Verdana" w:hAnsi="Verdana"/>
          <w:sz w:val="24"/>
          <w:szCs w:val="24"/>
        </w:rPr>
        <w:t xml:space="preserve"> ustawy Prawo Zamówień Publicznych.</w:t>
      </w:r>
    </w:p>
    <w:p w:rsidR="007D73EC" w:rsidRDefault="007D73EC">
      <w:pPr>
        <w:rPr>
          <w:rFonts w:ascii="Verdana" w:hAnsi="Verdana"/>
          <w:sz w:val="24"/>
          <w:szCs w:val="24"/>
        </w:rPr>
      </w:pPr>
    </w:p>
    <w:p w:rsidR="00AD357A" w:rsidRPr="0045530C" w:rsidRDefault="00AD357A" w:rsidP="0045530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/>
          <w:sz w:val="24"/>
          <w:szCs w:val="24"/>
        </w:rPr>
      </w:pPr>
      <w:r w:rsidRPr="0045530C">
        <w:rPr>
          <w:rFonts w:ascii="Verdana" w:hAnsi="Verdana"/>
          <w:b/>
          <w:sz w:val="24"/>
          <w:szCs w:val="24"/>
        </w:rPr>
        <w:t>Uwagi końcowe</w:t>
      </w:r>
    </w:p>
    <w:p w:rsidR="00AD357A" w:rsidRPr="006D3EB8" w:rsidRDefault="00AD357A" w:rsidP="00AD357A">
      <w:pPr>
        <w:pStyle w:val="Akapitzlist"/>
        <w:autoSpaceDE w:val="0"/>
        <w:autoSpaceDN w:val="0"/>
        <w:adjustRightInd w:val="0"/>
        <w:ind w:left="1080"/>
        <w:jc w:val="both"/>
        <w:rPr>
          <w:rFonts w:ascii="Verdana" w:hAnsi="Verdana"/>
          <w:b/>
          <w:sz w:val="24"/>
          <w:szCs w:val="24"/>
        </w:rPr>
      </w:pPr>
    </w:p>
    <w:p w:rsidR="00AD357A" w:rsidRDefault="00AD357A" w:rsidP="00AD357A">
      <w:pPr>
        <w:rPr>
          <w:rFonts w:ascii="Verdana" w:hAnsi="Verdana"/>
          <w:sz w:val="24"/>
          <w:szCs w:val="24"/>
        </w:rPr>
      </w:pPr>
      <w:r w:rsidRPr="0033063A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Robocizna za wykonanie napraw z użyciem części zamiennych nie wchodzących w materiały przewidziane w przeglądy jest wliczona w cenę przedmiotu zamówienia</w:t>
      </w:r>
    </w:p>
    <w:p w:rsidR="00AD357A" w:rsidRDefault="00AD357A" w:rsidP="00AD357A">
      <w:pPr>
        <w:rPr>
          <w:rFonts w:ascii="Verdana" w:hAnsi="Verdana"/>
          <w:sz w:val="24"/>
          <w:szCs w:val="24"/>
        </w:rPr>
      </w:pPr>
      <w:r w:rsidRPr="0033063A">
        <w:rPr>
          <w:rFonts w:ascii="Verdana" w:hAnsi="Verdana"/>
          <w:sz w:val="24"/>
          <w:szCs w:val="24"/>
        </w:rPr>
        <w:t xml:space="preserve">- </w:t>
      </w:r>
      <w:r w:rsidRPr="00AD357A">
        <w:rPr>
          <w:rFonts w:ascii="Verdana" w:hAnsi="Verdana"/>
          <w:sz w:val="24"/>
          <w:szCs w:val="24"/>
        </w:rPr>
        <w:t>w zakres przeglądu urządzeń wymien</w:t>
      </w:r>
      <w:r w:rsidR="00946EAC">
        <w:rPr>
          <w:rFonts w:ascii="Verdana" w:hAnsi="Verdana"/>
          <w:sz w:val="24"/>
          <w:szCs w:val="24"/>
        </w:rPr>
        <w:t>ionych w pkt. II pozycje</w:t>
      </w:r>
      <w:r>
        <w:rPr>
          <w:rFonts w:ascii="Verdana" w:hAnsi="Verdana"/>
          <w:sz w:val="24"/>
          <w:szCs w:val="24"/>
        </w:rPr>
        <w:t xml:space="preserve"> 1,2,3,4,5,6,7,</w:t>
      </w:r>
      <w:r w:rsidRPr="00AD357A">
        <w:rPr>
          <w:rFonts w:ascii="Verdana" w:hAnsi="Verdana"/>
          <w:sz w:val="24"/>
          <w:szCs w:val="24"/>
        </w:rPr>
        <w:t>8</w:t>
      </w:r>
      <w:r w:rsidR="00946EAC">
        <w:rPr>
          <w:rFonts w:ascii="Verdana" w:hAnsi="Verdana"/>
          <w:sz w:val="24"/>
          <w:szCs w:val="24"/>
        </w:rPr>
        <w:t>,14</w:t>
      </w:r>
      <w:r w:rsidRPr="00AD357A">
        <w:rPr>
          <w:rFonts w:ascii="Verdana" w:hAnsi="Verdana"/>
          <w:sz w:val="24"/>
          <w:szCs w:val="24"/>
        </w:rPr>
        <w:t xml:space="preserve"> należy wliczyć wymianę baterii</w:t>
      </w:r>
    </w:p>
    <w:p w:rsidR="00946EAC" w:rsidRDefault="00946EAC" w:rsidP="00AD357A">
      <w:r>
        <w:rPr>
          <w:rFonts w:ascii="Verdana" w:hAnsi="Verdana"/>
          <w:sz w:val="24"/>
          <w:szCs w:val="24"/>
        </w:rPr>
        <w:t>- koszty transportu materiałów stanowiących przedmiot zamówienia, dojazdu wykonawcy do zamawiającego po stronie wykonawcy.</w:t>
      </w:r>
    </w:p>
    <w:sectPr w:rsidR="00946EAC" w:rsidSect="00EE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300"/>
    <w:multiLevelType w:val="hybridMultilevel"/>
    <w:tmpl w:val="2D94EF78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98E4575"/>
    <w:multiLevelType w:val="hybridMultilevel"/>
    <w:tmpl w:val="3B020BBA"/>
    <w:lvl w:ilvl="0" w:tplc="423A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3E96"/>
    <w:multiLevelType w:val="hybridMultilevel"/>
    <w:tmpl w:val="3B020BBA"/>
    <w:lvl w:ilvl="0" w:tplc="423A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D6C"/>
    <w:multiLevelType w:val="hybridMultilevel"/>
    <w:tmpl w:val="9B50D846"/>
    <w:lvl w:ilvl="0" w:tplc="B584F5C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06E6C"/>
    <w:multiLevelType w:val="hybridMultilevel"/>
    <w:tmpl w:val="3B020BBA"/>
    <w:lvl w:ilvl="0" w:tplc="423A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16413"/>
    <w:multiLevelType w:val="hybridMultilevel"/>
    <w:tmpl w:val="75B6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E64B0"/>
    <w:multiLevelType w:val="hybridMultilevel"/>
    <w:tmpl w:val="3B020BBA"/>
    <w:lvl w:ilvl="0" w:tplc="423A1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E4142"/>
    <w:multiLevelType w:val="hybridMultilevel"/>
    <w:tmpl w:val="7C5C7AAA"/>
    <w:lvl w:ilvl="0" w:tplc="907C77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F621B1B"/>
    <w:multiLevelType w:val="hybridMultilevel"/>
    <w:tmpl w:val="7C5C7AAA"/>
    <w:lvl w:ilvl="0" w:tplc="907C77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3EC"/>
    <w:rsid w:val="00007BAE"/>
    <w:rsid w:val="000A375B"/>
    <w:rsid w:val="000D418A"/>
    <w:rsid w:val="00122FFA"/>
    <w:rsid w:val="00142C7C"/>
    <w:rsid w:val="001B02C1"/>
    <w:rsid w:val="00210DE5"/>
    <w:rsid w:val="00217244"/>
    <w:rsid w:val="00223862"/>
    <w:rsid w:val="00236758"/>
    <w:rsid w:val="00251AAC"/>
    <w:rsid w:val="002729F2"/>
    <w:rsid w:val="002C23C3"/>
    <w:rsid w:val="002D55DA"/>
    <w:rsid w:val="003242E3"/>
    <w:rsid w:val="003255C3"/>
    <w:rsid w:val="003C340A"/>
    <w:rsid w:val="003F2B67"/>
    <w:rsid w:val="003F3E51"/>
    <w:rsid w:val="004124CA"/>
    <w:rsid w:val="00424A4C"/>
    <w:rsid w:val="0045530C"/>
    <w:rsid w:val="0052613A"/>
    <w:rsid w:val="0053642F"/>
    <w:rsid w:val="00574A30"/>
    <w:rsid w:val="005D43CA"/>
    <w:rsid w:val="006850FE"/>
    <w:rsid w:val="007442C4"/>
    <w:rsid w:val="007A6E78"/>
    <w:rsid w:val="007D73EC"/>
    <w:rsid w:val="00881492"/>
    <w:rsid w:val="00881FE1"/>
    <w:rsid w:val="008D2F56"/>
    <w:rsid w:val="008F75B8"/>
    <w:rsid w:val="009348E7"/>
    <w:rsid w:val="00946EAC"/>
    <w:rsid w:val="00997FD0"/>
    <w:rsid w:val="009C6092"/>
    <w:rsid w:val="009F25F8"/>
    <w:rsid w:val="00A7224F"/>
    <w:rsid w:val="00AA5083"/>
    <w:rsid w:val="00AD3013"/>
    <w:rsid w:val="00AD357A"/>
    <w:rsid w:val="00AE2357"/>
    <w:rsid w:val="00B02DE6"/>
    <w:rsid w:val="00B75794"/>
    <w:rsid w:val="00B75DA0"/>
    <w:rsid w:val="00BB67FF"/>
    <w:rsid w:val="00BC1E67"/>
    <w:rsid w:val="00BF1630"/>
    <w:rsid w:val="00C345C1"/>
    <w:rsid w:val="00CC14BC"/>
    <w:rsid w:val="00CE0E4A"/>
    <w:rsid w:val="00D05C31"/>
    <w:rsid w:val="00D14AE9"/>
    <w:rsid w:val="00D20B4C"/>
    <w:rsid w:val="00D36030"/>
    <w:rsid w:val="00D54587"/>
    <w:rsid w:val="00D60A77"/>
    <w:rsid w:val="00DB19A5"/>
    <w:rsid w:val="00E37E83"/>
    <w:rsid w:val="00E53E69"/>
    <w:rsid w:val="00EE4A1B"/>
    <w:rsid w:val="00EF2AE3"/>
    <w:rsid w:val="00F11BFC"/>
    <w:rsid w:val="00F36086"/>
    <w:rsid w:val="00FA3923"/>
    <w:rsid w:val="00FD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D73EC"/>
    <w:pPr>
      <w:ind w:left="720"/>
    </w:pPr>
    <w:rPr>
      <w:rFonts w:eastAsia="Calibri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36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3675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3E51"/>
    <w:pPr>
      <w:ind w:left="720"/>
      <w:contextualSpacing/>
    </w:pPr>
  </w:style>
  <w:style w:type="paragraph" w:customStyle="1" w:styleId="Default">
    <w:name w:val="Default"/>
    <w:rsid w:val="008814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ab-product-attribute-name">
    <w:name w:val="tab-product-attribute-name"/>
    <w:basedOn w:val="Domylnaczcionkaakapitu"/>
    <w:rsid w:val="009C6092"/>
  </w:style>
  <w:style w:type="paragraph" w:styleId="Tekstdymka">
    <w:name w:val="Balloon Text"/>
    <w:basedOn w:val="Normalny"/>
    <w:link w:val="TekstdymkaZnak"/>
    <w:uiPriority w:val="99"/>
    <w:semiHidden/>
    <w:unhideWhenUsed/>
    <w:rsid w:val="00B75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7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D73EC"/>
    <w:pPr>
      <w:ind w:left="720"/>
    </w:pPr>
    <w:rPr>
      <w:rFonts w:eastAsia="Calibri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36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3675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3E51"/>
    <w:pPr>
      <w:ind w:left="720"/>
      <w:contextualSpacing/>
    </w:pPr>
  </w:style>
  <w:style w:type="paragraph" w:customStyle="1" w:styleId="Default">
    <w:name w:val="Default"/>
    <w:rsid w:val="008814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ab-product-attribute-name">
    <w:name w:val="tab-product-attribute-name"/>
    <w:basedOn w:val="Domylnaczcionkaakapitu"/>
    <w:rsid w:val="009C6092"/>
  </w:style>
  <w:style w:type="paragraph" w:styleId="Tekstdymka">
    <w:name w:val="Balloon Text"/>
    <w:basedOn w:val="Normalny"/>
    <w:link w:val="TekstdymkaZnak"/>
    <w:uiPriority w:val="99"/>
    <w:semiHidden/>
    <w:unhideWhenUsed/>
    <w:rsid w:val="00B75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7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Elektryk</dc:creator>
  <cp:lastModifiedBy>Zbigniew</cp:lastModifiedBy>
  <cp:revision>6</cp:revision>
  <cp:lastPrinted>2023-04-06T07:35:00Z</cp:lastPrinted>
  <dcterms:created xsi:type="dcterms:W3CDTF">2023-04-06T07:14:00Z</dcterms:created>
  <dcterms:modified xsi:type="dcterms:W3CDTF">2023-06-20T10:42:00Z</dcterms:modified>
</cp:coreProperties>
</file>